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5E090" w14:textId="34CEBA62" w:rsidR="002E7720" w:rsidRPr="002E7720" w:rsidRDefault="00471EE7" w:rsidP="00471EE7">
      <w:pPr>
        <w:ind w:left="5387"/>
        <w:contextualSpacing/>
        <w:rPr>
          <w:sz w:val="28"/>
          <w:szCs w:val="28"/>
          <w:lang w:val="uk-UA"/>
        </w:rPr>
      </w:pPr>
      <w:r>
        <w:rPr>
          <w:sz w:val="28"/>
          <w:szCs w:val="28"/>
          <w:lang w:val="uk-UA"/>
        </w:rPr>
        <w:t xml:space="preserve">Додаток </w:t>
      </w:r>
      <w:r w:rsidR="00161C0D">
        <w:rPr>
          <w:sz w:val="28"/>
          <w:szCs w:val="28"/>
          <w:lang w:val="uk-UA"/>
        </w:rPr>
        <w:t>2</w:t>
      </w:r>
    </w:p>
    <w:p w14:paraId="5424DC2A" w14:textId="5B3A57B7" w:rsidR="002E7720" w:rsidRPr="002E7720" w:rsidRDefault="00471EE7" w:rsidP="00471EE7">
      <w:pPr>
        <w:ind w:left="5387"/>
        <w:contextualSpacing/>
        <w:rPr>
          <w:sz w:val="28"/>
          <w:szCs w:val="28"/>
          <w:lang w:val="uk-UA"/>
        </w:rPr>
      </w:pPr>
      <w:r>
        <w:rPr>
          <w:sz w:val="28"/>
          <w:szCs w:val="28"/>
          <w:lang w:val="uk-UA"/>
        </w:rPr>
        <w:t>до н</w:t>
      </w:r>
      <w:r w:rsidR="002E7720" w:rsidRPr="002E7720">
        <w:rPr>
          <w:sz w:val="28"/>
          <w:szCs w:val="28"/>
          <w:lang w:val="uk-UA"/>
        </w:rPr>
        <w:t>аказ</w:t>
      </w:r>
      <w:r>
        <w:rPr>
          <w:sz w:val="28"/>
          <w:szCs w:val="28"/>
          <w:lang w:val="uk-UA"/>
        </w:rPr>
        <w:t>у</w:t>
      </w:r>
      <w:r w:rsidR="002E7720" w:rsidRPr="002E7720">
        <w:rPr>
          <w:sz w:val="28"/>
          <w:szCs w:val="28"/>
          <w:lang w:val="uk-UA"/>
        </w:rPr>
        <w:t xml:space="preserve"> Комунального закладу </w:t>
      </w:r>
      <w:r w:rsidR="002E7720" w:rsidRPr="002E7720">
        <w:rPr>
          <w:sz w:val="28"/>
          <w:szCs w:val="28"/>
          <w:lang w:val="uk-UA"/>
        </w:rPr>
        <w:br/>
        <w:t xml:space="preserve">«Харківський ліцей № 36 </w:t>
      </w:r>
      <w:r w:rsidR="002E7720" w:rsidRPr="002E7720">
        <w:rPr>
          <w:sz w:val="28"/>
          <w:szCs w:val="28"/>
          <w:lang w:val="uk-UA"/>
        </w:rPr>
        <w:br/>
        <w:t>Харківської міської ради»</w:t>
      </w:r>
    </w:p>
    <w:p w14:paraId="251F07CF" w14:textId="5E42C1F7" w:rsidR="002E7720" w:rsidRPr="002E7720" w:rsidRDefault="00161C0D" w:rsidP="00471EE7">
      <w:pPr>
        <w:ind w:left="5387"/>
        <w:contextualSpacing/>
        <w:rPr>
          <w:sz w:val="28"/>
          <w:szCs w:val="28"/>
          <w:lang w:val="uk-UA"/>
        </w:rPr>
      </w:pPr>
      <w:r>
        <w:rPr>
          <w:sz w:val="28"/>
          <w:szCs w:val="28"/>
          <w:lang w:val="uk-UA"/>
        </w:rPr>
        <w:t>13 серпня</w:t>
      </w:r>
      <w:r w:rsidR="002E7720" w:rsidRPr="002E7720">
        <w:rPr>
          <w:sz w:val="28"/>
          <w:szCs w:val="28"/>
          <w:lang w:val="uk-UA"/>
        </w:rPr>
        <w:t xml:space="preserve"> 202</w:t>
      </w:r>
      <w:r>
        <w:rPr>
          <w:sz w:val="28"/>
          <w:szCs w:val="28"/>
          <w:lang w:val="uk-UA"/>
        </w:rPr>
        <w:t>4</w:t>
      </w:r>
      <w:r w:rsidR="002E7720" w:rsidRPr="002E7720">
        <w:rPr>
          <w:sz w:val="28"/>
          <w:szCs w:val="28"/>
          <w:lang w:val="uk-UA"/>
        </w:rPr>
        <w:t xml:space="preserve"> р. № </w:t>
      </w:r>
      <w:r>
        <w:rPr>
          <w:sz w:val="28"/>
          <w:szCs w:val="28"/>
          <w:lang w:val="uk-UA"/>
        </w:rPr>
        <w:t>86</w:t>
      </w:r>
    </w:p>
    <w:p w14:paraId="46989EC6" w14:textId="77777777" w:rsidR="000229BD" w:rsidRPr="002E7720" w:rsidRDefault="000229BD" w:rsidP="002E7720">
      <w:pPr>
        <w:ind w:firstLine="709"/>
        <w:contextualSpacing/>
        <w:jc w:val="right"/>
        <w:rPr>
          <w:sz w:val="28"/>
          <w:szCs w:val="28"/>
          <w:lang w:val="uk-UA"/>
        </w:rPr>
      </w:pPr>
    </w:p>
    <w:p w14:paraId="680FE2DA" w14:textId="77606AA2" w:rsidR="00AD5222" w:rsidRPr="002E7720" w:rsidRDefault="002E7720" w:rsidP="002E7720">
      <w:pPr>
        <w:shd w:val="clear" w:color="auto" w:fill="FFFFFF"/>
        <w:tabs>
          <w:tab w:val="left" w:leader="underscore" w:pos="0"/>
        </w:tabs>
        <w:contextualSpacing/>
        <w:jc w:val="center"/>
        <w:rPr>
          <w:sz w:val="28"/>
          <w:szCs w:val="28"/>
          <w:lang w:val="uk-UA"/>
        </w:rPr>
      </w:pPr>
      <w:r w:rsidRPr="002E7720">
        <w:rPr>
          <w:b/>
          <w:bCs/>
          <w:color w:val="000000"/>
          <w:spacing w:val="-4"/>
          <w:sz w:val="28"/>
          <w:szCs w:val="28"/>
          <w:lang w:val="uk-UA"/>
        </w:rPr>
        <w:t>ІНСТРУКЦІЯ №  12</w:t>
      </w:r>
      <w:r w:rsidR="00590CB6">
        <w:rPr>
          <w:b/>
          <w:bCs/>
          <w:color w:val="000000"/>
          <w:spacing w:val="-4"/>
          <w:sz w:val="28"/>
          <w:szCs w:val="28"/>
          <w:lang w:val="uk-UA"/>
        </w:rPr>
        <w:t>4</w:t>
      </w:r>
    </w:p>
    <w:p w14:paraId="55947651" w14:textId="081341B1" w:rsidR="0016584B" w:rsidRPr="002E7720" w:rsidRDefault="002E7720" w:rsidP="002E7720">
      <w:pPr>
        <w:contextualSpacing/>
        <w:jc w:val="center"/>
        <w:rPr>
          <w:b/>
          <w:color w:val="000000"/>
          <w:sz w:val="28"/>
          <w:szCs w:val="28"/>
          <w:lang w:val="uk-UA"/>
        </w:rPr>
      </w:pPr>
      <w:r w:rsidRPr="002E7720">
        <w:rPr>
          <w:b/>
          <w:sz w:val="28"/>
          <w:szCs w:val="28"/>
          <w:lang w:val="uk-UA"/>
        </w:rPr>
        <w:t>З БЕЗПЕЧНО</w:t>
      </w:r>
      <w:r w:rsidR="00161C0D">
        <w:rPr>
          <w:b/>
          <w:sz w:val="28"/>
          <w:szCs w:val="28"/>
          <w:lang w:val="uk-UA"/>
        </w:rPr>
        <w:t>ГО ВИКОРИСТАННЯ БЕНЗИНОВИХ ТА ДИЗЕЛЬНИХ ГЕНЕРАТОРІВ</w:t>
      </w:r>
    </w:p>
    <w:p w14:paraId="490A5ECA" w14:textId="77777777" w:rsidR="002E7720" w:rsidRPr="002E7720" w:rsidRDefault="002E7720" w:rsidP="002E7720">
      <w:pPr>
        <w:contextualSpacing/>
        <w:jc w:val="center"/>
        <w:rPr>
          <w:b/>
          <w:color w:val="000000"/>
          <w:sz w:val="28"/>
          <w:szCs w:val="28"/>
          <w:lang w:val="uk-UA"/>
        </w:rPr>
      </w:pPr>
    </w:p>
    <w:p w14:paraId="0EE931F5" w14:textId="77777777" w:rsidR="00C73974" w:rsidRPr="00C73974" w:rsidRDefault="00C73974" w:rsidP="00C73974">
      <w:pPr>
        <w:numPr>
          <w:ilvl w:val="0"/>
          <w:numId w:val="8"/>
        </w:numPr>
        <w:shd w:val="clear" w:color="auto" w:fill="FFFFFF"/>
        <w:contextualSpacing/>
        <w:jc w:val="both"/>
        <w:rPr>
          <w:b/>
          <w:bCs/>
          <w:color w:val="000000"/>
          <w:spacing w:val="-9"/>
          <w:sz w:val="28"/>
          <w:szCs w:val="28"/>
          <w:lang w:val="uk-UA"/>
        </w:rPr>
      </w:pPr>
      <w:bookmarkStart w:id="0" w:name="_Hlk174450360"/>
      <w:r w:rsidRPr="00C73974">
        <w:rPr>
          <w:b/>
          <w:bCs/>
          <w:color w:val="000000"/>
          <w:spacing w:val="-9"/>
          <w:sz w:val="28"/>
          <w:szCs w:val="28"/>
          <w:lang w:val="uk-UA"/>
        </w:rPr>
        <w:t>Загальні положення</w:t>
      </w:r>
    </w:p>
    <w:p w14:paraId="232E3E60" w14:textId="6B67AB91" w:rsidR="00C73974" w:rsidRPr="00C73974" w:rsidRDefault="00C73974" w:rsidP="00C73974">
      <w:pPr>
        <w:shd w:val="clear" w:color="auto" w:fill="FFFFFF"/>
        <w:ind w:left="48" w:firstLine="378"/>
        <w:contextualSpacing/>
        <w:jc w:val="both"/>
        <w:rPr>
          <w:color w:val="000000"/>
          <w:spacing w:val="-9"/>
          <w:sz w:val="28"/>
          <w:szCs w:val="28"/>
          <w:lang w:val="uk-UA"/>
        </w:rPr>
      </w:pPr>
      <w:r w:rsidRPr="00C73974">
        <w:rPr>
          <w:color w:val="000000"/>
          <w:spacing w:val="-9"/>
          <w:sz w:val="28"/>
          <w:szCs w:val="28"/>
          <w:lang w:val="uk-UA"/>
        </w:rPr>
        <w:t xml:space="preserve">Інструкція щодо </w:t>
      </w:r>
      <w:r>
        <w:rPr>
          <w:color w:val="000000"/>
          <w:spacing w:val="-9"/>
          <w:sz w:val="28"/>
          <w:szCs w:val="28"/>
          <w:lang w:val="uk-UA"/>
        </w:rPr>
        <w:t xml:space="preserve">безпечного використання </w:t>
      </w:r>
      <w:bookmarkStart w:id="1" w:name="_Hlk174452114"/>
      <w:r>
        <w:rPr>
          <w:color w:val="000000"/>
          <w:spacing w:val="-9"/>
          <w:sz w:val="28"/>
          <w:szCs w:val="28"/>
          <w:lang w:val="uk-UA"/>
        </w:rPr>
        <w:t xml:space="preserve">бензинових та дизельних генераторів </w:t>
      </w:r>
      <w:r w:rsidRPr="00C73974">
        <w:rPr>
          <w:color w:val="000000"/>
          <w:spacing w:val="-9"/>
          <w:sz w:val="28"/>
          <w:szCs w:val="28"/>
          <w:lang w:val="uk-UA"/>
        </w:rPr>
        <w:t xml:space="preserve"> </w:t>
      </w:r>
      <w:bookmarkEnd w:id="1"/>
      <w:r w:rsidRPr="00C73974">
        <w:rPr>
          <w:color w:val="000000"/>
          <w:spacing w:val="-9"/>
          <w:sz w:val="28"/>
          <w:szCs w:val="28"/>
          <w:lang w:val="uk-UA"/>
        </w:rPr>
        <w:t xml:space="preserve">в Комунальному закладі «Харківський ліцей №36 Харківської міської ради» (далі – Інструкція) встановлює порядок дій </w:t>
      </w:r>
      <w:r>
        <w:rPr>
          <w:color w:val="000000"/>
          <w:spacing w:val="-9"/>
          <w:sz w:val="28"/>
          <w:szCs w:val="28"/>
          <w:lang w:val="uk-UA"/>
        </w:rPr>
        <w:t>безпечного використання</w:t>
      </w:r>
      <w:r w:rsidRPr="00C73974">
        <w:rPr>
          <w:color w:val="000000"/>
          <w:spacing w:val="-9"/>
          <w:sz w:val="28"/>
          <w:szCs w:val="28"/>
          <w:lang w:val="uk-UA"/>
        </w:rPr>
        <w:t xml:space="preserve"> </w:t>
      </w:r>
      <w:r>
        <w:rPr>
          <w:color w:val="000000"/>
          <w:spacing w:val="-9"/>
          <w:sz w:val="28"/>
          <w:szCs w:val="28"/>
          <w:lang w:val="uk-UA"/>
        </w:rPr>
        <w:t>бензинових та дизельних генераторів</w:t>
      </w:r>
      <w:r w:rsidR="00484846">
        <w:rPr>
          <w:color w:val="000000"/>
          <w:spacing w:val="-9"/>
          <w:sz w:val="28"/>
          <w:szCs w:val="28"/>
          <w:lang w:val="uk-UA"/>
        </w:rPr>
        <w:t xml:space="preserve"> (далі – генератор)</w:t>
      </w:r>
      <w:r>
        <w:rPr>
          <w:color w:val="000000"/>
          <w:spacing w:val="-9"/>
          <w:sz w:val="28"/>
          <w:szCs w:val="28"/>
          <w:lang w:val="uk-UA"/>
        </w:rPr>
        <w:t xml:space="preserve"> </w:t>
      </w:r>
      <w:r w:rsidRPr="00C73974">
        <w:rPr>
          <w:color w:val="000000"/>
          <w:spacing w:val="-9"/>
          <w:sz w:val="28"/>
          <w:szCs w:val="28"/>
          <w:lang w:val="uk-UA"/>
        </w:rPr>
        <w:t>. Інструкція розроблена на підставі ст. 40. Кодексу цивільного захисту України, постанови Кабінету Міністрів України від 26.06.2013 № 444 «Про затвердження Порядку здійснення навчання населення діям у надзвичайних ситуаціях», наказу ДСНС України від 23.03.2015 № 167 «Про затвердження Методичних рекомендацій щодо підготовки населення до дій в умовах загрози або вчинення терористичного акту».</w:t>
      </w:r>
    </w:p>
    <w:p w14:paraId="401BAF75" w14:textId="77777777" w:rsidR="00C73974" w:rsidRPr="00C73974" w:rsidRDefault="00C73974" w:rsidP="00C73974">
      <w:pPr>
        <w:shd w:val="clear" w:color="auto" w:fill="FFFFFF"/>
        <w:ind w:left="48" w:firstLine="378"/>
        <w:contextualSpacing/>
        <w:jc w:val="both"/>
        <w:rPr>
          <w:color w:val="000000"/>
          <w:spacing w:val="-9"/>
          <w:sz w:val="28"/>
          <w:szCs w:val="28"/>
          <w:lang w:val="uk-UA"/>
        </w:rPr>
      </w:pPr>
      <w:r w:rsidRPr="00C73974">
        <w:rPr>
          <w:color w:val="000000"/>
          <w:spacing w:val="-9"/>
          <w:sz w:val="28"/>
          <w:szCs w:val="28"/>
          <w:lang w:val="uk-UA"/>
        </w:rPr>
        <w:t>Дії учасників освітнього процесу  Комунального закладу «Харківський ліцей №36 Харківської міської ради» (</w:t>
      </w:r>
      <w:proofErr w:type="spellStart"/>
      <w:r w:rsidRPr="00C73974">
        <w:rPr>
          <w:color w:val="000000"/>
          <w:spacing w:val="-9"/>
          <w:sz w:val="28"/>
          <w:szCs w:val="28"/>
          <w:lang w:val="uk-UA"/>
        </w:rPr>
        <w:t>далі–ХЛ</w:t>
      </w:r>
      <w:proofErr w:type="spellEnd"/>
      <w:r w:rsidRPr="00C73974">
        <w:rPr>
          <w:color w:val="000000"/>
          <w:spacing w:val="-9"/>
          <w:sz w:val="28"/>
          <w:szCs w:val="28"/>
          <w:lang w:val="uk-UA"/>
        </w:rPr>
        <w:t xml:space="preserve"> №36) при загрозі та виникнення подій, що можуть привести до надзвичайних ситуацій, повинні бути спрямовані на збереження свого життя та здоров’я, збереження матеріальних цінностей та негайне оповіщення служб оперативного реагування за телефонами:</w:t>
      </w:r>
    </w:p>
    <w:p w14:paraId="0126F965" w14:textId="77777777" w:rsidR="00C73974" w:rsidRPr="00C73974" w:rsidRDefault="00C73974" w:rsidP="00C73974">
      <w:pPr>
        <w:shd w:val="clear" w:color="auto" w:fill="FFFFFF"/>
        <w:ind w:left="48" w:firstLine="378"/>
        <w:contextualSpacing/>
        <w:jc w:val="both"/>
        <w:rPr>
          <w:color w:val="000000"/>
          <w:spacing w:val="-9"/>
          <w:sz w:val="28"/>
          <w:szCs w:val="28"/>
          <w:lang w:val="uk-UA"/>
        </w:rPr>
      </w:pPr>
      <w:r w:rsidRPr="00C73974">
        <w:rPr>
          <w:color w:val="000000"/>
          <w:spacing w:val="-9"/>
          <w:sz w:val="28"/>
          <w:szCs w:val="28"/>
          <w:lang w:val="uk-UA"/>
        </w:rPr>
        <w:t>Рятувальна служба ДСНС –101; Національна поліція – 102; Швидка медична допомога – 103; Аварійна служба газу –104;</w:t>
      </w:r>
    </w:p>
    <w:p w14:paraId="4F3A3BA8" w14:textId="77777777" w:rsidR="00C73974" w:rsidRPr="00C73974" w:rsidRDefault="00C73974" w:rsidP="00C73974">
      <w:pPr>
        <w:shd w:val="clear" w:color="auto" w:fill="FFFFFF"/>
        <w:ind w:left="48" w:firstLine="378"/>
        <w:contextualSpacing/>
        <w:jc w:val="both"/>
        <w:rPr>
          <w:color w:val="000000"/>
          <w:spacing w:val="-9"/>
          <w:sz w:val="28"/>
          <w:szCs w:val="28"/>
          <w:lang w:val="uk-UA"/>
        </w:rPr>
      </w:pPr>
      <w:r w:rsidRPr="00C73974">
        <w:rPr>
          <w:color w:val="000000"/>
          <w:spacing w:val="-9"/>
          <w:sz w:val="28"/>
          <w:szCs w:val="28"/>
          <w:lang w:val="uk-UA"/>
        </w:rPr>
        <w:t>Служба екстреної допомоги населенню –112.</w:t>
      </w:r>
    </w:p>
    <w:bookmarkEnd w:id="0"/>
    <w:p w14:paraId="68296FE9" w14:textId="0866CAE2" w:rsidR="00484846" w:rsidRPr="00484846" w:rsidRDefault="00484846" w:rsidP="00484846">
      <w:pPr>
        <w:pStyle w:val="a6"/>
        <w:numPr>
          <w:ilvl w:val="0"/>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Безпечне використання генераторів.</w:t>
      </w:r>
    </w:p>
    <w:p w14:paraId="26770CDE" w14:textId="0F4F16C6"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Державна служба України з надзвичайних ситуацій  наголошує дотримуватися правила безпеки при використанні електрогенераторів, оскільки пересувні електростанції є джерелом підвищеної небезпеки.</w:t>
      </w:r>
    </w:p>
    <w:p w14:paraId="4035637C"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Тому ДСНС пропонує купувати лише сертифіковану продукцію тільки в ліцензованих точках продажу та уважно дотримуватись інструкцій виробника.</w:t>
      </w:r>
    </w:p>
    <w:p w14:paraId="5B3666C9" w14:textId="0A9FB91B" w:rsidR="00484846" w:rsidRPr="00484846" w:rsidRDefault="00484846" w:rsidP="00484846">
      <w:pPr>
        <w:pStyle w:val="a6"/>
        <w:numPr>
          <w:ilvl w:val="1"/>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Розміщення</w:t>
      </w:r>
      <w:r>
        <w:rPr>
          <w:b/>
          <w:bCs/>
          <w:color w:val="000000"/>
          <w:spacing w:val="-9"/>
          <w:sz w:val="28"/>
          <w:szCs w:val="28"/>
          <w:lang w:val="uk-UA"/>
        </w:rPr>
        <w:t xml:space="preserve"> </w:t>
      </w:r>
    </w:p>
    <w:p w14:paraId="51120596"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 xml:space="preserve">Генератор необхідно розміщувати ззовні будівлі (бажано під навісом) або в окремому технічному просторому приміщенні з працюючою вентиляцією і можливістю провітрювання. </w:t>
      </w:r>
    </w:p>
    <w:p w14:paraId="3B6D19CB"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Відстань від генератора до суміжних об’єктів (будівель, стін з вікнами, автомобілів тощо) не менше 6 метрів. Допускається встановлювати електрогенератор біля суцільних негорючих стін (без вікон) на відстані не менше 1 м. Генератор необхідно встановлювати на рівному надійному майданчику.</w:t>
      </w:r>
    </w:p>
    <w:p w14:paraId="63835377"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 xml:space="preserve">Будь-яке пошкодження електричних провідників або обладнання повинно бути усунуто негайно. </w:t>
      </w:r>
    </w:p>
    <w:p w14:paraId="4025EA73" w14:textId="2255F575" w:rsidR="00484846" w:rsidRPr="00484846" w:rsidRDefault="00484846" w:rsidP="00484846">
      <w:pPr>
        <w:pStyle w:val="a6"/>
        <w:numPr>
          <w:ilvl w:val="1"/>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Підключення</w:t>
      </w:r>
    </w:p>
    <w:p w14:paraId="09A01F0A"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lastRenderedPageBreak/>
        <w:t>Під час підключення генератора до споживачів необхідно дотримуватися  інструкції з підключення та експлуатації генератора. Підключення повинен здійснювати кваліфікований електрик.</w:t>
      </w:r>
    </w:p>
    <w:p w14:paraId="5ED36D44"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Необхідно перевірити технічні характеристики, специфікацію та потужність даної моделі генератора та перед підключенням одягнути сухий захисний одяг (гумові рукавички, взуття на гумовій підошві, бажано засоби захисту органів зору та слуху).</w:t>
      </w:r>
    </w:p>
    <w:p w14:paraId="7013B11A"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При підключенні електричних приладів необхідно використовувати подовжувачі й кабелі високої якості, без пошкоджень і порізів. На вилках електроприладів повинен бути заземлюючий контакт.</w:t>
      </w:r>
    </w:p>
    <w:p w14:paraId="3E7E25C3" w14:textId="2E174288" w:rsidR="00484846" w:rsidRPr="00484846" w:rsidRDefault="00484846" w:rsidP="00484846">
      <w:pPr>
        <w:pStyle w:val="a6"/>
        <w:numPr>
          <w:ilvl w:val="1"/>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 xml:space="preserve">Експлуатація </w:t>
      </w:r>
    </w:p>
    <w:p w14:paraId="087B724D"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Експлуатацію генератора необхідно здійснювати відповідно до технічної документації та рекомендацій виробника.</w:t>
      </w:r>
    </w:p>
    <w:p w14:paraId="02DC99E4"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Перед пуском генератора необхідно перевірити стан електропроводки, та споживачів усунути їх пошкодження.  Також необхідно усунути перекручування дротів, контакту з гарячими поверхнями, наявність корозії на контактах. Електричні елементи генератора повинні бути заземлені, також необхідно уникати контакту силових контурів генератора з водою та іншими предметами.</w:t>
      </w:r>
    </w:p>
    <w:p w14:paraId="64086FDB"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Генератор не бажано вмикати в умовах підвищеної вологості, під час дощу або снігу. Також слід уникати контакту з елементами генератора, які обертаються.</w:t>
      </w:r>
    </w:p>
    <w:p w14:paraId="32B80EF6"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 xml:space="preserve">Під час роботи електрогенератору контролюйте його технічний стан. У разі виявлення підтікань палива, мастила або сторонніх звуків, що свідчать про його несправність негайно вимкніть електрогенератор та </w:t>
      </w:r>
      <w:proofErr w:type="spellStart"/>
      <w:r w:rsidRPr="00484846">
        <w:rPr>
          <w:color w:val="000000"/>
          <w:spacing w:val="-9"/>
          <w:sz w:val="28"/>
          <w:szCs w:val="28"/>
          <w:lang w:val="uk-UA"/>
        </w:rPr>
        <w:t>знеструмте</w:t>
      </w:r>
      <w:proofErr w:type="spellEnd"/>
      <w:r w:rsidRPr="00484846">
        <w:rPr>
          <w:color w:val="000000"/>
          <w:spacing w:val="-9"/>
          <w:sz w:val="28"/>
          <w:szCs w:val="28"/>
          <w:lang w:val="uk-UA"/>
        </w:rPr>
        <w:t xml:space="preserve"> його.</w:t>
      </w:r>
    </w:p>
    <w:p w14:paraId="5A22BB26" w14:textId="13FCF6F2" w:rsidR="00484846" w:rsidRPr="00484846" w:rsidRDefault="00484846" w:rsidP="00484846">
      <w:pPr>
        <w:pStyle w:val="a6"/>
        <w:numPr>
          <w:ilvl w:val="1"/>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Зберігання ПММ</w:t>
      </w:r>
    </w:p>
    <w:p w14:paraId="01727B19" w14:textId="77777777"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Пальне та мастило для генератора необхідно зберігати окремо, на відстані не менше 10 м до суміжних об’єктів (будівель, автомобілів) у спеціальних каністрах, які призначені для зберігання палива поза межами жилої зони. Найбезпечніше зберігати у провітрюваній окремо розташованій зоні з навісом з обмеженим доступом для сторонніх осіб та дітей. Не допускайте проливу палива та щільно закривайте каністри. У випадку проливу палива посипте місце проливу піском, який потім зберіть у металевий ящик чи відро.</w:t>
      </w:r>
    </w:p>
    <w:p w14:paraId="1FE91CD7" w14:textId="53638755" w:rsidR="00484846" w:rsidRPr="00484846" w:rsidRDefault="00484846" w:rsidP="00484846">
      <w:pPr>
        <w:pStyle w:val="a6"/>
        <w:numPr>
          <w:ilvl w:val="0"/>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Дії під час загорання генератора</w:t>
      </w:r>
    </w:p>
    <w:p w14:paraId="4D0424C5" w14:textId="069D4E39" w:rsidR="00484846" w:rsidRPr="00484846" w:rsidRDefault="00484846" w:rsidP="00484846">
      <w:pPr>
        <w:shd w:val="clear" w:color="auto" w:fill="FFFFFF"/>
        <w:ind w:left="48" w:firstLine="378"/>
        <w:contextualSpacing/>
        <w:jc w:val="both"/>
        <w:rPr>
          <w:color w:val="000000"/>
          <w:spacing w:val="-9"/>
          <w:sz w:val="28"/>
          <w:szCs w:val="28"/>
          <w:lang w:val="uk-UA"/>
        </w:rPr>
      </w:pPr>
      <w:r w:rsidRPr="00484846">
        <w:rPr>
          <w:color w:val="000000"/>
          <w:spacing w:val="-9"/>
          <w:sz w:val="28"/>
          <w:szCs w:val="28"/>
          <w:lang w:val="uk-UA"/>
        </w:rPr>
        <w:t xml:space="preserve">У разі загорання генератора </w:t>
      </w:r>
      <w:r>
        <w:rPr>
          <w:color w:val="000000"/>
          <w:spacing w:val="-9"/>
          <w:sz w:val="28"/>
          <w:szCs w:val="28"/>
          <w:lang w:val="uk-UA"/>
        </w:rPr>
        <w:t>необхідно</w:t>
      </w:r>
      <w:r w:rsidRPr="00484846">
        <w:rPr>
          <w:color w:val="000000"/>
          <w:spacing w:val="-9"/>
          <w:sz w:val="28"/>
          <w:szCs w:val="28"/>
          <w:lang w:val="uk-UA"/>
        </w:rPr>
        <w:t>:</w:t>
      </w:r>
    </w:p>
    <w:p w14:paraId="3303758B" w14:textId="768983DD"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негайно повідомити про це ДСНС за телефоном 101. При цьому необхідно назвати місцезнаходження об’єкта, вказати місце виникнення пожежі, обстановку на пожежі, наявність людей, а також повідомити своє прізвище;</w:t>
      </w:r>
    </w:p>
    <w:p w14:paraId="26C11ABB" w14:textId="05D7B1C3"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знеструмити електрогенератор;</w:t>
      </w:r>
    </w:p>
    <w:p w14:paraId="592B4B7A" w14:textId="2741B464"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вжити (за можливості) заходів щодо гасіння (локалізації) пожежі первинними засобами пожежогасіння. В таких випадках краще використовувати вогнегасники для гасіння пожежі класу В (горіння рідких речовин або твердих речовин, які розтоплюються). Зазначену інформацію можна знайти на етикетці вогнегасника. Також у інших  ситуаціях можливе використання кошми або щільної ковдри, якими необхідно накрити генератор);</w:t>
      </w:r>
    </w:p>
    <w:p w14:paraId="6CFB7576" w14:textId="27A6CA65"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у разі необхідності викликати інші аварійно-рятувальні служби;</w:t>
      </w:r>
    </w:p>
    <w:p w14:paraId="05D63086" w14:textId="50FD558A"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lastRenderedPageBreak/>
        <w:t>організувати зустріч підрозділів ДСНС, надати їм допомогу у виборі найкоротшого шляху для під’їзду до осередку пожежі.</w:t>
      </w:r>
    </w:p>
    <w:p w14:paraId="05103384" w14:textId="22EE2B51" w:rsidR="00484846" w:rsidRPr="00484846" w:rsidRDefault="00484846" w:rsidP="00484846">
      <w:pPr>
        <w:pStyle w:val="a6"/>
        <w:numPr>
          <w:ilvl w:val="0"/>
          <w:numId w:val="8"/>
        </w:numPr>
        <w:shd w:val="clear" w:color="auto" w:fill="FFFFFF"/>
        <w:contextualSpacing/>
        <w:jc w:val="both"/>
        <w:rPr>
          <w:b/>
          <w:bCs/>
          <w:color w:val="000000"/>
          <w:spacing w:val="-9"/>
          <w:sz w:val="28"/>
          <w:szCs w:val="28"/>
          <w:lang w:val="uk-UA"/>
        </w:rPr>
      </w:pPr>
      <w:r w:rsidRPr="00484846">
        <w:rPr>
          <w:b/>
          <w:bCs/>
          <w:color w:val="000000"/>
          <w:spacing w:val="-9"/>
          <w:sz w:val="28"/>
          <w:szCs w:val="28"/>
          <w:lang w:val="uk-UA"/>
        </w:rPr>
        <w:t>Забороняється під час використання генераторів:</w:t>
      </w:r>
    </w:p>
    <w:p w14:paraId="5994F038" w14:textId="4DF0E04F"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вносити зміни в конструкцію генератора;</w:t>
      </w:r>
    </w:p>
    <w:p w14:paraId="41D0870F" w14:textId="60F69919"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розміщувати  генератор у замкнутому приміщенні без вентиляції, а також у вибухонебезпечному середовищі, в підвалах та в приміщеннях з можливим перебуванням людей;</w:t>
      </w:r>
    </w:p>
    <w:p w14:paraId="77DA27CF" w14:textId="50635C9A"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 xml:space="preserve">палити та користуватися джерелами відкритого вогню під час заправки та експлуатації генератора; </w:t>
      </w:r>
    </w:p>
    <w:p w14:paraId="0736167B" w14:textId="4AE6C4D4"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відкривати кришку баку при працюючому генераторі;</w:t>
      </w:r>
    </w:p>
    <w:p w14:paraId="41091DE9" w14:textId="551AF26E"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заправку генератора при працюючому або не охолодженому двигуні;</w:t>
      </w:r>
    </w:p>
    <w:p w14:paraId="15CD5A73" w14:textId="5E52D219"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об’єднувати генератори у ланцюг;</w:t>
      </w:r>
    </w:p>
    <w:p w14:paraId="0213A959" w14:textId="1E38E382"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перебування поруч з генератором стороннім особам  або тваринам;</w:t>
      </w:r>
    </w:p>
    <w:p w14:paraId="47547E51" w14:textId="63702FA2" w:rsidR="00484846" w:rsidRPr="00484846"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змішувати різні види мастила та палива;</w:t>
      </w:r>
    </w:p>
    <w:p w14:paraId="50032BA8" w14:textId="30E45899" w:rsidR="000333C0" w:rsidRDefault="00484846" w:rsidP="00484846">
      <w:pPr>
        <w:pStyle w:val="a6"/>
        <w:numPr>
          <w:ilvl w:val="0"/>
          <w:numId w:val="9"/>
        </w:numPr>
        <w:shd w:val="clear" w:color="auto" w:fill="FFFFFF"/>
        <w:contextualSpacing/>
        <w:jc w:val="both"/>
        <w:rPr>
          <w:color w:val="000000"/>
          <w:spacing w:val="-9"/>
          <w:sz w:val="28"/>
          <w:szCs w:val="28"/>
          <w:lang w:val="uk-UA"/>
        </w:rPr>
      </w:pPr>
      <w:r w:rsidRPr="00484846">
        <w:rPr>
          <w:color w:val="000000"/>
          <w:spacing w:val="-9"/>
          <w:sz w:val="28"/>
          <w:szCs w:val="28"/>
          <w:lang w:val="uk-UA"/>
        </w:rPr>
        <w:t xml:space="preserve">перевищувати максимально допустимий струм вихідного </w:t>
      </w:r>
      <w:proofErr w:type="spellStart"/>
      <w:r w:rsidRPr="00484846">
        <w:rPr>
          <w:color w:val="000000"/>
          <w:spacing w:val="-9"/>
          <w:sz w:val="28"/>
          <w:szCs w:val="28"/>
          <w:lang w:val="uk-UA"/>
        </w:rPr>
        <w:t>роз’єму</w:t>
      </w:r>
      <w:proofErr w:type="spellEnd"/>
      <w:r w:rsidRPr="00484846">
        <w:rPr>
          <w:color w:val="000000"/>
          <w:spacing w:val="-9"/>
          <w:sz w:val="28"/>
          <w:szCs w:val="28"/>
          <w:lang w:val="uk-UA"/>
        </w:rPr>
        <w:t xml:space="preserve"> генератора.</w:t>
      </w:r>
    </w:p>
    <w:p w14:paraId="58516EA5" w14:textId="77777777" w:rsidR="00590CB6" w:rsidRDefault="00590CB6" w:rsidP="00590CB6">
      <w:pPr>
        <w:shd w:val="clear" w:color="auto" w:fill="FFFFFF"/>
        <w:contextualSpacing/>
        <w:jc w:val="both"/>
        <w:rPr>
          <w:color w:val="000000"/>
          <w:spacing w:val="-9"/>
          <w:sz w:val="28"/>
          <w:szCs w:val="28"/>
          <w:lang w:val="uk-UA"/>
        </w:rPr>
      </w:pPr>
    </w:p>
    <w:p w14:paraId="6FB220B6" w14:textId="77777777" w:rsidR="00590CB6" w:rsidRDefault="00590CB6" w:rsidP="00590CB6">
      <w:pPr>
        <w:shd w:val="clear" w:color="auto" w:fill="FFFFFF"/>
        <w:contextualSpacing/>
        <w:jc w:val="both"/>
        <w:rPr>
          <w:color w:val="000000"/>
          <w:spacing w:val="-9"/>
          <w:sz w:val="28"/>
          <w:szCs w:val="28"/>
          <w:lang w:val="uk-UA"/>
        </w:rPr>
      </w:pPr>
    </w:p>
    <w:p w14:paraId="05F19AD6" w14:textId="77777777" w:rsidR="00590CB6" w:rsidRDefault="00590CB6" w:rsidP="00590CB6">
      <w:pPr>
        <w:shd w:val="clear" w:color="auto" w:fill="FFFFFF"/>
        <w:contextualSpacing/>
        <w:jc w:val="both"/>
        <w:rPr>
          <w:color w:val="000000"/>
          <w:spacing w:val="-9"/>
          <w:sz w:val="28"/>
          <w:szCs w:val="28"/>
          <w:lang w:val="uk-UA"/>
        </w:rPr>
      </w:pPr>
    </w:p>
    <w:p w14:paraId="0EAD1483" w14:textId="77777777" w:rsidR="00590CB6" w:rsidRDefault="00590CB6" w:rsidP="00590CB6">
      <w:pPr>
        <w:shd w:val="clear" w:color="auto" w:fill="FFFFFF"/>
        <w:contextualSpacing/>
        <w:jc w:val="both"/>
        <w:rPr>
          <w:color w:val="000000"/>
          <w:spacing w:val="-9"/>
          <w:sz w:val="28"/>
          <w:szCs w:val="28"/>
          <w:lang w:val="uk-UA"/>
        </w:rPr>
      </w:pPr>
    </w:p>
    <w:p w14:paraId="7B711A37" w14:textId="77777777" w:rsidR="00590CB6" w:rsidRDefault="00590CB6" w:rsidP="00590CB6">
      <w:pPr>
        <w:shd w:val="clear" w:color="auto" w:fill="FFFFFF"/>
        <w:contextualSpacing/>
        <w:jc w:val="both"/>
        <w:rPr>
          <w:color w:val="000000"/>
          <w:spacing w:val="-9"/>
          <w:sz w:val="28"/>
          <w:szCs w:val="28"/>
          <w:lang w:val="uk-UA"/>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196"/>
      </w:tblGrid>
      <w:tr w:rsidR="00590CB6" w:rsidRPr="00590CB6" w14:paraId="253C10B0" w14:textId="77777777" w:rsidTr="00424424">
        <w:tc>
          <w:tcPr>
            <w:tcW w:w="3369" w:type="dxa"/>
          </w:tcPr>
          <w:p w14:paraId="4C281B90" w14:textId="77777777" w:rsidR="00590CB6" w:rsidRPr="00590CB6" w:rsidRDefault="00590CB6" w:rsidP="00590CB6">
            <w:pPr>
              <w:shd w:val="clear" w:color="auto" w:fill="FFFFFF"/>
              <w:ind w:right="36"/>
              <w:rPr>
                <w:rFonts w:eastAsia="Arial Unicode MS"/>
                <w:color w:val="000000"/>
                <w:sz w:val="28"/>
                <w:szCs w:val="28"/>
                <w:lang w:val="uk-UA"/>
              </w:rPr>
            </w:pPr>
            <w:r w:rsidRPr="00590CB6">
              <w:rPr>
                <w:rFonts w:eastAsia="Arial Unicode MS"/>
                <w:color w:val="000000"/>
                <w:spacing w:val="4"/>
                <w:sz w:val="28"/>
                <w:szCs w:val="28"/>
                <w:lang w:val="uk-UA"/>
              </w:rPr>
              <w:t>Інструкцію розробив:</w:t>
            </w:r>
            <w:r w:rsidRPr="00590CB6">
              <w:rPr>
                <w:rFonts w:eastAsia="Arial Unicode MS"/>
                <w:b/>
                <w:color w:val="000000"/>
                <w:sz w:val="28"/>
                <w:szCs w:val="28"/>
                <w:lang w:val="uk-UA"/>
              </w:rPr>
              <w:t xml:space="preserve"> </w:t>
            </w:r>
          </w:p>
          <w:p w14:paraId="39B6350F" w14:textId="77777777" w:rsidR="00590CB6" w:rsidRPr="00590CB6" w:rsidRDefault="00590CB6" w:rsidP="00590CB6">
            <w:pPr>
              <w:jc w:val="both"/>
              <w:rPr>
                <w:rFonts w:eastAsia="Arial Unicode MS"/>
                <w:color w:val="000000"/>
                <w:sz w:val="28"/>
                <w:szCs w:val="28"/>
                <w:lang w:val="uk-UA"/>
              </w:rPr>
            </w:pPr>
            <w:r w:rsidRPr="00590CB6">
              <w:rPr>
                <w:rFonts w:eastAsia="Arial Unicode MS"/>
                <w:color w:val="000000"/>
                <w:sz w:val="28"/>
                <w:szCs w:val="28"/>
                <w:lang w:val="uk-UA"/>
              </w:rPr>
              <w:t>Завгосп</w:t>
            </w:r>
          </w:p>
          <w:p w14:paraId="1E1E60CF" w14:textId="77777777" w:rsidR="00590CB6" w:rsidRPr="00590CB6" w:rsidRDefault="00590CB6" w:rsidP="00590CB6">
            <w:pPr>
              <w:jc w:val="both"/>
              <w:rPr>
                <w:rFonts w:eastAsia="Arial Unicode MS"/>
                <w:color w:val="000000"/>
                <w:sz w:val="28"/>
                <w:szCs w:val="28"/>
                <w:lang w:val="uk-UA"/>
              </w:rPr>
            </w:pPr>
          </w:p>
        </w:tc>
        <w:tc>
          <w:tcPr>
            <w:tcW w:w="6196" w:type="dxa"/>
            <w:vAlign w:val="bottom"/>
          </w:tcPr>
          <w:p w14:paraId="0E74AF4F" w14:textId="3F181199" w:rsidR="00590CB6" w:rsidRPr="00590CB6" w:rsidRDefault="00424424" w:rsidP="00424424">
            <w:pPr>
              <w:rPr>
                <w:rFonts w:eastAsia="Arial Unicode MS"/>
                <w:color w:val="000000"/>
                <w:sz w:val="28"/>
                <w:szCs w:val="28"/>
                <w:lang w:val="uk-UA"/>
              </w:rPr>
            </w:pPr>
            <w:r>
              <w:rPr>
                <w:rFonts w:eastAsia="Arial Unicode MS"/>
                <w:i/>
                <w:color w:val="000000"/>
                <w:sz w:val="28"/>
                <w:szCs w:val="28"/>
                <w:lang w:val="uk-UA"/>
              </w:rPr>
              <w:t xml:space="preserve">Оригінал підписано  </w:t>
            </w:r>
            <w:r w:rsidR="00590CB6" w:rsidRPr="00590CB6">
              <w:rPr>
                <w:rFonts w:eastAsia="Arial Unicode MS"/>
                <w:color w:val="000000"/>
                <w:sz w:val="28"/>
                <w:szCs w:val="28"/>
                <w:lang w:val="uk-UA"/>
              </w:rPr>
              <w:t xml:space="preserve">Валентина  ШИПІЦИНА                                                 </w:t>
            </w:r>
          </w:p>
          <w:p w14:paraId="2D760F77" w14:textId="77777777" w:rsidR="00590CB6" w:rsidRPr="00590CB6" w:rsidRDefault="00590CB6" w:rsidP="00590CB6">
            <w:pPr>
              <w:jc w:val="right"/>
              <w:rPr>
                <w:rFonts w:eastAsia="Arial Unicode MS"/>
                <w:color w:val="000000"/>
                <w:sz w:val="28"/>
                <w:szCs w:val="28"/>
                <w:lang w:val="uk-UA"/>
              </w:rPr>
            </w:pPr>
          </w:p>
        </w:tc>
      </w:tr>
      <w:tr w:rsidR="00590CB6" w:rsidRPr="00590CB6" w14:paraId="2AEFB80B" w14:textId="77777777" w:rsidTr="00424424">
        <w:tc>
          <w:tcPr>
            <w:tcW w:w="3369" w:type="dxa"/>
          </w:tcPr>
          <w:p w14:paraId="0C58FC38" w14:textId="77777777" w:rsidR="00590CB6" w:rsidRPr="00590CB6" w:rsidRDefault="00590CB6" w:rsidP="00590CB6">
            <w:pPr>
              <w:shd w:val="clear" w:color="auto" w:fill="FFFFFF"/>
              <w:ind w:right="36"/>
              <w:rPr>
                <w:rFonts w:eastAsia="Arial Unicode MS"/>
                <w:color w:val="000000"/>
                <w:sz w:val="28"/>
                <w:szCs w:val="28"/>
                <w:lang w:val="uk-UA"/>
              </w:rPr>
            </w:pPr>
            <w:bookmarkStart w:id="2" w:name="_Hlk142378801"/>
            <w:r w:rsidRPr="00590CB6">
              <w:rPr>
                <w:rFonts w:eastAsia="Arial Unicode MS"/>
                <w:color w:val="000000"/>
                <w:spacing w:val="4"/>
                <w:sz w:val="28"/>
                <w:szCs w:val="28"/>
                <w:lang w:val="uk-UA"/>
              </w:rPr>
              <w:t>Інструкцію погодив:</w:t>
            </w:r>
            <w:bookmarkEnd w:id="2"/>
          </w:p>
          <w:p w14:paraId="4CD0A05F" w14:textId="77777777" w:rsidR="00590CB6" w:rsidRPr="00590CB6" w:rsidRDefault="00590CB6" w:rsidP="00590CB6">
            <w:pPr>
              <w:rPr>
                <w:rFonts w:eastAsia="Arial Unicode MS"/>
                <w:color w:val="000000"/>
                <w:sz w:val="28"/>
                <w:szCs w:val="28"/>
                <w:lang w:val="uk-UA"/>
              </w:rPr>
            </w:pPr>
            <w:r w:rsidRPr="00590CB6">
              <w:rPr>
                <w:rFonts w:eastAsia="Arial Unicode MS"/>
                <w:color w:val="000000"/>
                <w:sz w:val="28"/>
                <w:szCs w:val="28"/>
                <w:lang w:val="uk-UA"/>
              </w:rPr>
              <w:t xml:space="preserve">Заступник директора, який відповідає за організацію роботи з безпеки життєдіяльності                                             </w:t>
            </w:r>
          </w:p>
          <w:p w14:paraId="7AA546E8" w14:textId="77777777" w:rsidR="00590CB6" w:rsidRPr="00590CB6" w:rsidRDefault="00590CB6" w:rsidP="00590CB6">
            <w:pPr>
              <w:jc w:val="both"/>
              <w:rPr>
                <w:rFonts w:eastAsia="Arial Unicode MS"/>
                <w:color w:val="000000"/>
                <w:sz w:val="28"/>
                <w:szCs w:val="28"/>
                <w:lang w:val="uk-UA"/>
              </w:rPr>
            </w:pPr>
            <w:r w:rsidRPr="00590CB6">
              <w:rPr>
                <w:rFonts w:eastAsia="Arial Unicode MS"/>
                <w:color w:val="000000"/>
                <w:sz w:val="28"/>
                <w:szCs w:val="28"/>
                <w:lang w:val="uk-UA"/>
              </w:rPr>
              <w:t xml:space="preserve">                                         </w:t>
            </w:r>
          </w:p>
        </w:tc>
        <w:tc>
          <w:tcPr>
            <w:tcW w:w="6196" w:type="dxa"/>
            <w:vAlign w:val="bottom"/>
          </w:tcPr>
          <w:p w14:paraId="319E2FCA" w14:textId="773E5668" w:rsidR="00590CB6" w:rsidRPr="00590CB6" w:rsidRDefault="00424424" w:rsidP="00424424">
            <w:pPr>
              <w:rPr>
                <w:rFonts w:eastAsia="Arial Unicode MS"/>
                <w:color w:val="000000"/>
                <w:sz w:val="28"/>
                <w:szCs w:val="28"/>
                <w:lang w:val="uk-UA"/>
              </w:rPr>
            </w:pPr>
            <w:r>
              <w:rPr>
                <w:rFonts w:eastAsia="Arial Unicode MS"/>
                <w:i/>
                <w:color w:val="000000"/>
                <w:sz w:val="28"/>
                <w:szCs w:val="28"/>
                <w:lang w:val="uk-UA"/>
              </w:rPr>
              <w:t>Оригінал підписано</w:t>
            </w:r>
            <w:r>
              <w:rPr>
                <w:rFonts w:eastAsia="Arial Unicode MS"/>
                <w:color w:val="000000"/>
                <w:spacing w:val="4"/>
                <w:sz w:val="28"/>
                <w:szCs w:val="28"/>
                <w:lang w:val="uk-UA"/>
              </w:rPr>
              <w:t xml:space="preserve">   </w:t>
            </w:r>
            <w:bookmarkStart w:id="3" w:name="_GoBack"/>
            <w:bookmarkEnd w:id="3"/>
            <w:r w:rsidR="00590CB6">
              <w:rPr>
                <w:rFonts w:eastAsia="Arial Unicode MS"/>
                <w:color w:val="000000"/>
                <w:spacing w:val="4"/>
                <w:sz w:val="28"/>
                <w:szCs w:val="28"/>
                <w:lang w:val="uk-UA"/>
              </w:rPr>
              <w:t xml:space="preserve">Валерій </w:t>
            </w:r>
            <w:proofErr w:type="spellStart"/>
            <w:r w:rsidR="00590CB6">
              <w:rPr>
                <w:rFonts w:eastAsia="Arial Unicode MS"/>
                <w:color w:val="000000"/>
                <w:spacing w:val="4"/>
                <w:sz w:val="28"/>
                <w:szCs w:val="28"/>
                <w:lang w:val="uk-UA"/>
              </w:rPr>
              <w:t>Биковський</w:t>
            </w:r>
            <w:proofErr w:type="spellEnd"/>
          </w:p>
          <w:p w14:paraId="1C9C1574" w14:textId="77777777" w:rsidR="00590CB6" w:rsidRPr="00590CB6" w:rsidRDefault="00590CB6" w:rsidP="00590CB6">
            <w:pPr>
              <w:jc w:val="right"/>
              <w:rPr>
                <w:rFonts w:eastAsia="Arial Unicode MS"/>
                <w:color w:val="000000"/>
                <w:sz w:val="28"/>
                <w:szCs w:val="28"/>
                <w:lang w:val="uk-UA"/>
              </w:rPr>
            </w:pPr>
          </w:p>
        </w:tc>
      </w:tr>
      <w:tr w:rsidR="00590CB6" w:rsidRPr="00590CB6" w14:paraId="1E6B308A" w14:textId="77777777" w:rsidTr="00424424">
        <w:tc>
          <w:tcPr>
            <w:tcW w:w="3369" w:type="dxa"/>
          </w:tcPr>
          <w:p w14:paraId="49743A9D" w14:textId="2FD5B47C" w:rsidR="00590CB6" w:rsidRPr="00590CB6" w:rsidRDefault="00590CB6" w:rsidP="00590CB6">
            <w:pPr>
              <w:shd w:val="clear" w:color="auto" w:fill="FFFFFF"/>
              <w:ind w:right="36"/>
              <w:rPr>
                <w:rFonts w:eastAsia="Arial Unicode MS"/>
                <w:color w:val="000000"/>
                <w:sz w:val="28"/>
                <w:szCs w:val="28"/>
                <w:lang w:val="uk-UA"/>
              </w:rPr>
            </w:pPr>
          </w:p>
        </w:tc>
        <w:tc>
          <w:tcPr>
            <w:tcW w:w="6196" w:type="dxa"/>
          </w:tcPr>
          <w:p w14:paraId="0AF970DB" w14:textId="77777777" w:rsidR="00590CB6" w:rsidRPr="00590CB6" w:rsidRDefault="00590CB6" w:rsidP="00590CB6">
            <w:pPr>
              <w:jc w:val="both"/>
              <w:rPr>
                <w:rFonts w:eastAsia="Arial Unicode MS"/>
                <w:color w:val="000000"/>
                <w:sz w:val="28"/>
                <w:szCs w:val="28"/>
                <w:lang w:val="uk-UA"/>
              </w:rPr>
            </w:pPr>
          </w:p>
        </w:tc>
      </w:tr>
    </w:tbl>
    <w:p w14:paraId="1131F3B4" w14:textId="77777777" w:rsidR="00590CB6" w:rsidRPr="00590CB6" w:rsidRDefault="00590CB6" w:rsidP="00590CB6">
      <w:pPr>
        <w:tabs>
          <w:tab w:val="left" w:pos="428"/>
          <w:tab w:val="left" w:pos="720"/>
        </w:tabs>
        <w:ind w:left="113" w:right="126"/>
        <w:jc w:val="both"/>
        <w:rPr>
          <w:sz w:val="28"/>
          <w:szCs w:val="28"/>
          <w:lang w:val="ru-RU"/>
        </w:rPr>
      </w:pPr>
    </w:p>
    <w:p w14:paraId="6BA2A55F" w14:textId="77777777" w:rsidR="00590CB6" w:rsidRPr="00590CB6" w:rsidRDefault="00590CB6" w:rsidP="00590CB6">
      <w:pPr>
        <w:shd w:val="clear" w:color="auto" w:fill="FFFFFF"/>
        <w:contextualSpacing/>
        <w:jc w:val="both"/>
        <w:rPr>
          <w:color w:val="000000"/>
          <w:spacing w:val="-9"/>
          <w:sz w:val="28"/>
          <w:szCs w:val="28"/>
          <w:lang w:val="uk-UA"/>
        </w:rPr>
      </w:pPr>
    </w:p>
    <w:sectPr w:rsidR="00590CB6" w:rsidRPr="00590CB6" w:rsidSect="002E7720">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E025B" w14:textId="77777777" w:rsidR="00140D1D" w:rsidRDefault="00140D1D">
      <w:r>
        <w:separator/>
      </w:r>
    </w:p>
  </w:endnote>
  <w:endnote w:type="continuationSeparator" w:id="0">
    <w:p w14:paraId="6DF4D9B8" w14:textId="77777777" w:rsidR="00140D1D" w:rsidRDefault="0014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2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6A9DE" w14:textId="77777777" w:rsidR="00DF3B07" w:rsidRDefault="00DF3B07" w:rsidP="00803F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E9F879C" w14:textId="77777777" w:rsidR="00DF3B07" w:rsidRDefault="00DF3B0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9D302" w14:textId="77777777" w:rsidR="00DF3B07" w:rsidRDefault="00DF3B07" w:rsidP="00803F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24424">
      <w:rPr>
        <w:rStyle w:val="a5"/>
        <w:noProof/>
      </w:rPr>
      <w:t>3</w:t>
    </w:r>
    <w:r>
      <w:rPr>
        <w:rStyle w:val="a5"/>
      </w:rPr>
      <w:fldChar w:fldCharType="end"/>
    </w:r>
  </w:p>
  <w:p w14:paraId="6F70B031" w14:textId="77777777" w:rsidR="00DF3B07" w:rsidRDefault="00DF3B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2AFEE" w14:textId="77777777" w:rsidR="00140D1D" w:rsidRDefault="00140D1D">
      <w:r>
        <w:separator/>
      </w:r>
    </w:p>
  </w:footnote>
  <w:footnote w:type="continuationSeparator" w:id="0">
    <w:p w14:paraId="71549BBE" w14:textId="77777777" w:rsidR="00140D1D" w:rsidRDefault="00140D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648"/>
    <w:multiLevelType w:val="hybridMultilevel"/>
    <w:tmpl w:val="BD7028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8E106B0"/>
    <w:multiLevelType w:val="multilevel"/>
    <w:tmpl w:val="87FA0788"/>
    <w:lvl w:ilvl="0">
      <w:start w:val="1"/>
      <w:numFmt w:val="decimal"/>
      <w:lvlText w:val="%1."/>
      <w:lvlJc w:val="left"/>
      <w:pPr>
        <w:ind w:left="495" w:hanging="49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2A604D46"/>
    <w:multiLevelType w:val="hybridMultilevel"/>
    <w:tmpl w:val="A718CE54"/>
    <w:lvl w:ilvl="0" w:tplc="FF7A787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4AB12AA2"/>
    <w:multiLevelType w:val="multilevel"/>
    <w:tmpl w:val="B2FCF3E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4">
    <w:nsid w:val="53A77938"/>
    <w:multiLevelType w:val="hybridMultilevel"/>
    <w:tmpl w:val="F45E7F22"/>
    <w:lvl w:ilvl="0" w:tplc="FD683836">
      <w:start w:val="3"/>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nsid w:val="57A471E0"/>
    <w:multiLevelType w:val="multilevel"/>
    <w:tmpl w:val="6AE2BA82"/>
    <w:lvl w:ilvl="0">
      <w:start w:val="1"/>
      <w:numFmt w:val="decimal"/>
      <w:lvlText w:val="%1."/>
      <w:lvlJc w:val="left"/>
      <w:pPr>
        <w:ind w:left="2486" w:hanging="360"/>
      </w:pPr>
      <w:rPr>
        <w:rFonts w:hint="default"/>
        <w:b/>
        <w:bCs/>
      </w:rPr>
    </w:lvl>
    <w:lvl w:ilvl="1">
      <w:start w:val="1"/>
      <w:numFmt w:val="decimal"/>
      <w:lvlText w:val="%1.%2"/>
      <w:lvlJc w:val="left"/>
      <w:pPr>
        <w:ind w:left="2918" w:hanging="432"/>
      </w:pPr>
      <w:rPr>
        <w:rFonts w:hint="default"/>
      </w:rPr>
    </w:lvl>
    <w:lvl w:ilvl="2">
      <w:start w:val="1"/>
      <w:numFmt w:val="decimal"/>
      <w:lvlText w:val="%1.%2.%3"/>
      <w:lvlJc w:val="left"/>
      <w:pPr>
        <w:ind w:left="3350" w:hanging="504"/>
      </w:pPr>
      <w:rPr>
        <w:rFonts w:hint="default"/>
      </w:rPr>
    </w:lvl>
    <w:lvl w:ilvl="3">
      <w:start w:val="1"/>
      <w:numFmt w:val="decimal"/>
      <w:lvlText w:val="%1.%2.%3.%4"/>
      <w:lvlJc w:val="left"/>
      <w:pPr>
        <w:ind w:left="3854" w:hanging="648"/>
      </w:pPr>
      <w:rPr>
        <w:rFonts w:hint="default"/>
      </w:rPr>
    </w:lvl>
    <w:lvl w:ilvl="4">
      <w:start w:val="1"/>
      <w:numFmt w:val="decimal"/>
      <w:lvlText w:val="%1.%2.%3.%4.%5."/>
      <w:lvlJc w:val="left"/>
      <w:pPr>
        <w:ind w:left="4358" w:hanging="792"/>
      </w:pPr>
      <w:rPr>
        <w:rFonts w:hint="default"/>
      </w:rPr>
    </w:lvl>
    <w:lvl w:ilvl="5">
      <w:start w:val="1"/>
      <w:numFmt w:val="decimal"/>
      <w:lvlText w:val="%1.%2.%3.%4.%5.%6."/>
      <w:lvlJc w:val="left"/>
      <w:pPr>
        <w:ind w:left="4862" w:hanging="936"/>
      </w:pPr>
      <w:rPr>
        <w:rFonts w:hint="default"/>
      </w:rPr>
    </w:lvl>
    <w:lvl w:ilvl="6">
      <w:start w:val="1"/>
      <w:numFmt w:val="decimal"/>
      <w:lvlText w:val="%1.%2.%3.%4.%5.%6.%7."/>
      <w:lvlJc w:val="left"/>
      <w:pPr>
        <w:ind w:left="5366" w:hanging="1080"/>
      </w:pPr>
      <w:rPr>
        <w:rFonts w:hint="default"/>
      </w:rPr>
    </w:lvl>
    <w:lvl w:ilvl="7">
      <w:start w:val="1"/>
      <w:numFmt w:val="decimal"/>
      <w:lvlText w:val="%1.%2.%3.%4.%5.%6.%7.%8."/>
      <w:lvlJc w:val="left"/>
      <w:pPr>
        <w:ind w:left="5870" w:hanging="1224"/>
      </w:pPr>
      <w:rPr>
        <w:rFonts w:hint="default"/>
      </w:rPr>
    </w:lvl>
    <w:lvl w:ilvl="8">
      <w:start w:val="1"/>
      <w:numFmt w:val="decimal"/>
      <w:lvlText w:val="%1.%2.%3.%4.%5.%6.%7.%8.%9."/>
      <w:lvlJc w:val="left"/>
      <w:pPr>
        <w:ind w:left="6446" w:hanging="1440"/>
      </w:pPr>
      <w:rPr>
        <w:rFonts w:hint="default"/>
      </w:rPr>
    </w:lvl>
  </w:abstractNum>
  <w:abstractNum w:abstractNumId="6">
    <w:nsid w:val="58017978"/>
    <w:multiLevelType w:val="multilevel"/>
    <w:tmpl w:val="6AE2BA8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E114BFF"/>
    <w:multiLevelType w:val="multilevel"/>
    <w:tmpl w:val="6AE2BA8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6E3C34AA"/>
    <w:multiLevelType w:val="hybridMultilevel"/>
    <w:tmpl w:val="3E6E737A"/>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2"/>
  </w:num>
  <w:num w:numId="3">
    <w:abstractNumId w:val="7"/>
  </w:num>
  <w:num w:numId="4">
    <w:abstractNumId w:val="1"/>
  </w:num>
  <w:num w:numId="5">
    <w:abstractNumId w:val="5"/>
  </w:num>
  <w:num w:numId="6">
    <w:abstractNumId w:val="0"/>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AF6"/>
    <w:rsid w:val="000229BD"/>
    <w:rsid w:val="000333C0"/>
    <w:rsid w:val="00050A27"/>
    <w:rsid w:val="000F390F"/>
    <w:rsid w:val="00140D1D"/>
    <w:rsid w:val="00161C0D"/>
    <w:rsid w:val="0016584B"/>
    <w:rsid w:val="001F33A2"/>
    <w:rsid w:val="00273EA0"/>
    <w:rsid w:val="002E7719"/>
    <w:rsid w:val="002E7720"/>
    <w:rsid w:val="00330307"/>
    <w:rsid w:val="0040728E"/>
    <w:rsid w:val="00424424"/>
    <w:rsid w:val="00466364"/>
    <w:rsid w:val="00471EE7"/>
    <w:rsid w:val="00484846"/>
    <w:rsid w:val="004B656F"/>
    <w:rsid w:val="004C2F1F"/>
    <w:rsid w:val="005035BC"/>
    <w:rsid w:val="005859DB"/>
    <w:rsid w:val="00590CB6"/>
    <w:rsid w:val="005A0F7B"/>
    <w:rsid w:val="005A1AF6"/>
    <w:rsid w:val="005C7367"/>
    <w:rsid w:val="00651F1D"/>
    <w:rsid w:val="00692062"/>
    <w:rsid w:val="006A1A99"/>
    <w:rsid w:val="006E3821"/>
    <w:rsid w:val="007139A2"/>
    <w:rsid w:val="00714D3B"/>
    <w:rsid w:val="00803F09"/>
    <w:rsid w:val="008920CD"/>
    <w:rsid w:val="008C112E"/>
    <w:rsid w:val="008F3542"/>
    <w:rsid w:val="009C2F69"/>
    <w:rsid w:val="00A03ABE"/>
    <w:rsid w:val="00A17DC9"/>
    <w:rsid w:val="00AD4138"/>
    <w:rsid w:val="00AD5222"/>
    <w:rsid w:val="00B1410C"/>
    <w:rsid w:val="00B33D9C"/>
    <w:rsid w:val="00B53A71"/>
    <w:rsid w:val="00B667FE"/>
    <w:rsid w:val="00BA768C"/>
    <w:rsid w:val="00C035A0"/>
    <w:rsid w:val="00C67881"/>
    <w:rsid w:val="00C73974"/>
    <w:rsid w:val="00CC3A73"/>
    <w:rsid w:val="00D55C43"/>
    <w:rsid w:val="00D6332C"/>
    <w:rsid w:val="00D9517D"/>
    <w:rsid w:val="00DE5E81"/>
    <w:rsid w:val="00DF3B07"/>
    <w:rsid w:val="00E566C5"/>
    <w:rsid w:val="00E818CF"/>
    <w:rsid w:val="00ED6B49"/>
    <w:rsid w:val="00EE5776"/>
    <w:rsid w:val="00F5030A"/>
    <w:rsid w:val="00FA1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04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AF6"/>
    <w:rPr>
      <w:lang w:val="en-US"/>
    </w:rPr>
  </w:style>
  <w:style w:type="paragraph" w:styleId="1">
    <w:name w:val="heading 1"/>
    <w:basedOn w:val="a"/>
    <w:next w:val="a"/>
    <w:qFormat/>
    <w:rsid w:val="00330307"/>
    <w:pPr>
      <w:keepNext/>
      <w:jc w:val="center"/>
      <w:outlineLvl w:val="0"/>
    </w:pPr>
    <w:rPr>
      <w:b/>
      <w:sz w:val="32"/>
      <w:lang w:val="uk-UA"/>
    </w:rPr>
  </w:style>
  <w:style w:type="paragraph" w:styleId="3">
    <w:name w:val="heading 3"/>
    <w:basedOn w:val="a"/>
    <w:next w:val="a"/>
    <w:qFormat/>
    <w:rsid w:val="005A1AF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5A1AF6"/>
    <w:pPr>
      <w:shd w:val="clear" w:color="auto" w:fill="FFFFFF"/>
      <w:spacing w:line="228" w:lineRule="exact"/>
      <w:ind w:left="12"/>
      <w:jc w:val="center"/>
    </w:pPr>
    <w:rPr>
      <w:b/>
      <w:spacing w:val="-8"/>
      <w:sz w:val="24"/>
      <w:lang w:val="uk-UA"/>
    </w:rPr>
  </w:style>
  <w:style w:type="table" w:styleId="a3">
    <w:name w:val="Table Grid"/>
    <w:basedOn w:val="a1"/>
    <w:rsid w:val="005A1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F3B07"/>
    <w:pPr>
      <w:tabs>
        <w:tab w:val="center" w:pos="4677"/>
        <w:tab w:val="right" w:pos="9355"/>
      </w:tabs>
    </w:pPr>
  </w:style>
  <w:style w:type="character" w:styleId="a5">
    <w:name w:val="page number"/>
    <w:basedOn w:val="a0"/>
    <w:rsid w:val="00DF3B07"/>
  </w:style>
  <w:style w:type="paragraph" w:styleId="a6">
    <w:name w:val="List Paragraph"/>
    <w:basedOn w:val="a"/>
    <w:uiPriority w:val="34"/>
    <w:qFormat/>
    <w:rsid w:val="002E772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AF6"/>
    <w:rPr>
      <w:lang w:val="en-US"/>
    </w:rPr>
  </w:style>
  <w:style w:type="paragraph" w:styleId="1">
    <w:name w:val="heading 1"/>
    <w:basedOn w:val="a"/>
    <w:next w:val="a"/>
    <w:qFormat/>
    <w:rsid w:val="00330307"/>
    <w:pPr>
      <w:keepNext/>
      <w:jc w:val="center"/>
      <w:outlineLvl w:val="0"/>
    </w:pPr>
    <w:rPr>
      <w:b/>
      <w:sz w:val="32"/>
      <w:lang w:val="uk-UA"/>
    </w:rPr>
  </w:style>
  <w:style w:type="paragraph" w:styleId="3">
    <w:name w:val="heading 3"/>
    <w:basedOn w:val="a"/>
    <w:next w:val="a"/>
    <w:qFormat/>
    <w:rsid w:val="005A1AF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5A1AF6"/>
    <w:pPr>
      <w:shd w:val="clear" w:color="auto" w:fill="FFFFFF"/>
      <w:spacing w:line="228" w:lineRule="exact"/>
      <w:ind w:left="12"/>
      <w:jc w:val="center"/>
    </w:pPr>
    <w:rPr>
      <w:b/>
      <w:spacing w:val="-8"/>
      <w:sz w:val="24"/>
      <w:lang w:val="uk-UA"/>
    </w:rPr>
  </w:style>
  <w:style w:type="table" w:styleId="a3">
    <w:name w:val="Table Grid"/>
    <w:basedOn w:val="a1"/>
    <w:rsid w:val="005A1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F3B07"/>
    <w:pPr>
      <w:tabs>
        <w:tab w:val="center" w:pos="4677"/>
        <w:tab w:val="right" w:pos="9355"/>
      </w:tabs>
    </w:pPr>
  </w:style>
  <w:style w:type="character" w:styleId="a5">
    <w:name w:val="page number"/>
    <w:basedOn w:val="a0"/>
    <w:rsid w:val="00DF3B07"/>
  </w:style>
  <w:style w:type="paragraph" w:styleId="a6">
    <w:name w:val="List Paragraph"/>
    <w:basedOn w:val="a"/>
    <w:uiPriority w:val="34"/>
    <w:qFormat/>
    <w:rsid w:val="002E772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0028">
      <w:bodyDiv w:val="1"/>
      <w:marLeft w:val="0"/>
      <w:marRight w:val="0"/>
      <w:marTop w:val="0"/>
      <w:marBottom w:val="0"/>
      <w:divBdr>
        <w:top w:val="none" w:sz="0" w:space="0" w:color="auto"/>
        <w:left w:val="none" w:sz="0" w:space="0" w:color="auto"/>
        <w:bottom w:val="none" w:sz="0" w:space="0" w:color="auto"/>
        <w:right w:val="none" w:sz="0" w:space="0" w:color="auto"/>
      </w:divBdr>
    </w:div>
    <w:div w:id="325400339">
      <w:bodyDiv w:val="1"/>
      <w:marLeft w:val="0"/>
      <w:marRight w:val="0"/>
      <w:marTop w:val="0"/>
      <w:marBottom w:val="0"/>
      <w:divBdr>
        <w:top w:val="none" w:sz="0" w:space="0" w:color="auto"/>
        <w:left w:val="none" w:sz="0" w:space="0" w:color="auto"/>
        <w:bottom w:val="none" w:sz="0" w:space="0" w:color="auto"/>
        <w:right w:val="none" w:sz="0" w:space="0" w:color="auto"/>
      </w:divBdr>
    </w:div>
    <w:div w:id="953442694">
      <w:bodyDiv w:val="1"/>
      <w:marLeft w:val="0"/>
      <w:marRight w:val="0"/>
      <w:marTop w:val="0"/>
      <w:marBottom w:val="0"/>
      <w:divBdr>
        <w:top w:val="none" w:sz="0" w:space="0" w:color="auto"/>
        <w:left w:val="none" w:sz="0" w:space="0" w:color="auto"/>
        <w:bottom w:val="none" w:sz="0" w:space="0" w:color="auto"/>
        <w:right w:val="none" w:sz="0" w:space="0" w:color="auto"/>
      </w:divBdr>
    </w:div>
    <w:div w:id="1069890438">
      <w:bodyDiv w:val="1"/>
      <w:marLeft w:val="0"/>
      <w:marRight w:val="0"/>
      <w:marTop w:val="0"/>
      <w:marBottom w:val="0"/>
      <w:divBdr>
        <w:top w:val="none" w:sz="0" w:space="0" w:color="auto"/>
        <w:left w:val="none" w:sz="0" w:space="0" w:color="auto"/>
        <w:bottom w:val="none" w:sz="0" w:space="0" w:color="auto"/>
        <w:right w:val="none" w:sz="0" w:space="0" w:color="auto"/>
      </w:divBdr>
    </w:div>
    <w:div w:id="1309162456">
      <w:bodyDiv w:val="1"/>
      <w:marLeft w:val="0"/>
      <w:marRight w:val="0"/>
      <w:marTop w:val="0"/>
      <w:marBottom w:val="0"/>
      <w:divBdr>
        <w:top w:val="none" w:sz="0" w:space="0" w:color="auto"/>
        <w:left w:val="none" w:sz="0" w:space="0" w:color="auto"/>
        <w:bottom w:val="none" w:sz="0" w:space="0" w:color="auto"/>
        <w:right w:val="none" w:sz="0" w:space="0" w:color="auto"/>
      </w:divBdr>
    </w:div>
    <w:div w:id="1433667681">
      <w:bodyDiv w:val="1"/>
      <w:marLeft w:val="0"/>
      <w:marRight w:val="0"/>
      <w:marTop w:val="0"/>
      <w:marBottom w:val="0"/>
      <w:divBdr>
        <w:top w:val="none" w:sz="0" w:space="0" w:color="auto"/>
        <w:left w:val="none" w:sz="0" w:space="0" w:color="auto"/>
        <w:bottom w:val="none" w:sz="0" w:space="0" w:color="auto"/>
        <w:right w:val="none" w:sz="0" w:space="0" w:color="auto"/>
      </w:divBdr>
    </w:div>
    <w:div w:id="202428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5329</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Центр МТЗ (ОП1)</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dc:creator>
  <cp:keywords/>
  <cp:lastModifiedBy>СЕКРЕТАРЬ</cp:lastModifiedBy>
  <cp:revision>2</cp:revision>
  <cp:lastPrinted>2024-08-13T11:50:00Z</cp:lastPrinted>
  <dcterms:created xsi:type="dcterms:W3CDTF">2024-08-23T11:37:00Z</dcterms:created>
  <dcterms:modified xsi:type="dcterms:W3CDTF">2024-08-23T11:37:00Z</dcterms:modified>
</cp:coreProperties>
</file>